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89" w:rsidRDefault="00C62189" w:rsidP="00C62189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622CF">
        <w:rPr>
          <w:rFonts w:ascii="Times New Roman" w:hAnsi="Times New Roman" w:cs="Times New Roman"/>
          <w:sz w:val="18"/>
          <w:szCs w:val="18"/>
        </w:rPr>
        <w:t>Целевые значения критериев доступности и качества медицинской помощи, оказываемой в рамках</w:t>
      </w:r>
    </w:p>
    <w:p w:rsidR="00C62189" w:rsidRPr="002622CF" w:rsidRDefault="00C62189" w:rsidP="00C62189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622CF">
        <w:rPr>
          <w:rFonts w:ascii="Times New Roman" w:hAnsi="Times New Roman" w:cs="Times New Roman"/>
          <w:sz w:val="18"/>
          <w:szCs w:val="18"/>
        </w:rPr>
        <w:t xml:space="preserve"> Программы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622CF">
        <w:rPr>
          <w:rFonts w:ascii="Times New Roman" w:hAnsi="Times New Roman" w:cs="Times New Roman"/>
          <w:sz w:val="18"/>
          <w:szCs w:val="18"/>
        </w:rPr>
        <w:t xml:space="preserve">государственных гарантий </w:t>
      </w:r>
    </w:p>
    <w:p w:rsidR="00C62189" w:rsidRPr="002622CF" w:rsidRDefault="00C62189" w:rsidP="00C62189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622CF">
        <w:rPr>
          <w:rFonts w:ascii="Times New Roman" w:hAnsi="Times New Roman" w:cs="Times New Roman"/>
          <w:sz w:val="18"/>
          <w:szCs w:val="18"/>
        </w:rPr>
        <w:t xml:space="preserve">бесплатного оказания гражданам медицинской помощи </w:t>
      </w:r>
    </w:p>
    <w:p w:rsidR="00C62189" w:rsidRPr="002622CF" w:rsidRDefault="00C62189" w:rsidP="00C62189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622CF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2622C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622CF">
        <w:rPr>
          <w:rFonts w:ascii="Times New Roman" w:hAnsi="Times New Roman" w:cs="Times New Roman"/>
          <w:sz w:val="18"/>
          <w:szCs w:val="18"/>
        </w:rPr>
        <w:t>Ханты-Мансийском</w:t>
      </w:r>
      <w:proofErr w:type="gramEnd"/>
      <w:r w:rsidRPr="002622CF">
        <w:rPr>
          <w:rFonts w:ascii="Times New Roman" w:hAnsi="Times New Roman" w:cs="Times New Roman"/>
          <w:sz w:val="18"/>
          <w:szCs w:val="18"/>
        </w:rPr>
        <w:t xml:space="preserve"> автономном округе – Югре на 2018 год </w:t>
      </w:r>
    </w:p>
    <w:p w:rsidR="00C62189" w:rsidRPr="002622CF" w:rsidRDefault="00C62189" w:rsidP="00C62189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2622CF">
        <w:rPr>
          <w:rFonts w:ascii="Times New Roman" w:hAnsi="Times New Roman" w:cs="Times New Roman"/>
          <w:sz w:val="18"/>
          <w:szCs w:val="18"/>
        </w:rPr>
        <w:t>и на плановый период 2019 и 2020 годов</w:t>
      </w:r>
    </w:p>
    <w:p w:rsidR="00C62189" w:rsidRPr="002622CF" w:rsidRDefault="00C62189" w:rsidP="00C6218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C62189" w:rsidRPr="002622CF" w:rsidRDefault="00C62189" w:rsidP="00C6218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1134"/>
        <w:gridCol w:w="1134"/>
        <w:gridCol w:w="1134"/>
      </w:tblGrid>
      <w:tr w:rsidR="00C62189" w:rsidRPr="002622CF" w:rsidTr="00294502">
        <w:tc>
          <w:tcPr>
            <w:tcW w:w="704" w:type="dxa"/>
            <w:vMerge w:val="restart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Целевое значение</w:t>
            </w:r>
          </w:p>
        </w:tc>
      </w:tr>
      <w:tr w:rsidR="00C62189" w:rsidRPr="002622CF" w:rsidTr="00294502">
        <w:tc>
          <w:tcPr>
            <w:tcW w:w="704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C62189" w:rsidRPr="002622CF" w:rsidTr="00294502">
        <w:tc>
          <w:tcPr>
            <w:tcW w:w="9209" w:type="dxa"/>
            <w:gridSpan w:val="6"/>
            <w:shd w:val="clear" w:color="auto" w:fill="auto"/>
          </w:tcPr>
          <w:p w:rsidR="00C62189" w:rsidRPr="002622CF" w:rsidRDefault="00C62189" w:rsidP="00C62189">
            <w:pPr>
              <w:pStyle w:val="ConsPlusNormal"/>
              <w:numPr>
                <w:ilvl w:val="0"/>
                <w:numId w:val="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Критерии качества медицинской помощи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медицинской помощью (по результатам мониторинга общественного мнения жителей автономного округа по удовлетворенности качеством оказания медицинских услуг.</w:t>
            </w:r>
            <w:proofErr w:type="gramEnd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Проводится ежегодно БУ «Центр медицинской профилактики» методом анкетирования жителей всех муниципальных образований автономного округа различного возраста, пола и рода деятельности в медицинских организациях государственной формы собственности)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% от числа </w:t>
            </w:r>
            <w:proofErr w:type="gramStart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не менее 60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не менее 60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не менее 60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Городского населения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не менее 61,5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не менее 61,5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не менее 61,5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Сельского населения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не менее 59,0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не менее 59,0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не менее 59,0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Смертность населения в трудоспособном возрасте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432</w:t>
            </w: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622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431,0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430,0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умерших</w:t>
            </w:r>
            <w:proofErr w:type="gramEnd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Материнская смертность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на 100 тыс. человек, родившихся живыми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Младенческая смертность, в том числе: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на 1000 человек, родившихся живыми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Городского населения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622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Сельского населения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умерших</w:t>
            </w:r>
            <w:proofErr w:type="gramEnd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Смертность детей в возрасте 0 – 4 лет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на 1000 человек, родившихся живыми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Доля умерших в возрасте до 0 – 4 лет на дому в общем количестве умерших в возрасте до 0 – 4 лет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Смертность детей в возрасте 0 – 17 лет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на 100 тыс. человек населения соответствующего возраста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Доля умерших в возрасте 0 – 17 лет на дому в общем количестве умерших в возрасте 0 – 17 лет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Доля впервые выявленных случаев </w:t>
            </w:r>
            <w:r w:rsidRPr="002622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фиброзно–кавернозного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Доля пациентов с инфарктом миокарда, госпитализированных </w:t>
            </w:r>
            <w:proofErr w:type="gramStart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в первые</w:t>
            </w:r>
            <w:proofErr w:type="gramEnd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тромболитическая</w:t>
            </w:r>
            <w:proofErr w:type="spellEnd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стентирование</w:t>
            </w:r>
            <w:proofErr w:type="spellEnd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проведен</w:t>
            </w:r>
            <w:proofErr w:type="gramEnd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тромболизис</w:t>
            </w:r>
            <w:proofErr w:type="spellEnd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в первые</w:t>
            </w:r>
            <w:proofErr w:type="gramEnd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Смертность населения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Число умерших на 1000 человек населения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6,16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6,18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19.1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Городского населения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6,05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6,05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Сельского населения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8,55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Количество обоснованных жалоб, в том числе на отказ в оказании медицинской помощи, предоставляемой в соответствии с Программой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Всего – не более 30,</w:t>
            </w:r>
          </w:p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на отказ – 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Всего – не более 30,</w:t>
            </w:r>
          </w:p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на отказ – 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Всего – не более 30,</w:t>
            </w:r>
          </w:p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на отказ – 0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тромболитическая</w:t>
            </w:r>
            <w:proofErr w:type="spellEnd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 терапия </w:t>
            </w:r>
            <w:proofErr w:type="gramStart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в первые</w:t>
            </w:r>
            <w:proofErr w:type="gramEnd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 6 часов госпитализации, в общем количестве пациентов с острым ишемическим инсультом, имеющих показания к ее проведению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622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</w:tr>
      <w:tr w:rsidR="00C62189" w:rsidRPr="002622CF" w:rsidTr="00294502">
        <w:tc>
          <w:tcPr>
            <w:tcW w:w="9209" w:type="dxa"/>
            <w:gridSpan w:val="6"/>
            <w:shd w:val="clear" w:color="auto" w:fill="auto"/>
          </w:tcPr>
          <w:p w:rsidR="00C62189" w:rsidRPr="002622CF" w:rsidRDefault="00C62189" w:rsidP="00C62189">
            <w:pPr>
              <w:pStyle w:val="ConsPlusNormal"/>
              <w:numPr>
                <w:ilvl w:val="0"/>
                <w:numId w:val="1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Критерии доступности медицинской помощи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Обеспеченность населения врачами, в том числе оказывающими медицинскую помощь в амбулаторных и стационарных условиях, в том числе: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jc w:val="center"/>
              <w:rPr>
                <w:sz w:val="18"/>
                <w:szCs w:val="18"/>
              </w:rPr>
            </w:pPr>
            <w:r w:rsidRPr="002622CF">
              <w:rPr>
                <w:sz w:val="18"/>
                <w:szCs w:val="18"/>
              </w:rPr>
              <w:t>46,7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jc w:val="center"/>
              <w:rPr>
                <w:sz w:val="18"/>
                <w:szCs w:val="18"/>
              </w:rPr>
            </w:pPr>
            <w:r w:rsidRPr="002622CF">
              <w:rPr>
                <w:sz w:val="18"/>
                <w:szCs w:val="18"/>
              </w:rPr>
              <w:t>46,7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jc w:val="center"/>
              <w:rPr>
                <w:sz w:val="18"/>
                <w:szCs w:val="18"/>
              </w:rPr>
            </w:pPr>
            <w:r w:rsidRPr="002622CF">
              <w:rPr>
                <w:sz w:val="18"/>
                <w:szCs w:val="18"/>
              </w:rPr>
              <w:t>46,7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Городского населения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Сельского населения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Оказывающими</w:t>
            </w:r>
            <w:proofErr w:type="gramEnd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медицинскую помощь в амбулаторных условиях</w:t>
            </w:r>
          </w:p>
        </w:tc>
        <w:tc>
          <w:tcPr>
            <w:tcW w:w="1417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Оказывающими</w:t>
            </w:r>
            <w:proofErr w:type="gramEnd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медицинскую помощь в стационарных условиях</w:t>
            </w:r>
          </w:p>
        </w:tc>
        <w:tc>
          <w:tcPr>
            <w:tcW w:w="1417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условиях, в том числе: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на 10 тыс. человек населения, включая городское и сельское </w:t>
            </w:r>
            <w:r w:rsidRPr="002622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население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jc w:val="center"/>
              <w:rPr>
                <w:sz w:val="18"/>
                <w:szCs w:val="18"/>
              </w:rPr>
            </w:pPr>
            <w:r w:rsidRPr="002622CF">
              <w:rPr>
                <w:sz w:val="18"/>
                <w:szCs w:val="18"/>
              </w:rPr>
              <w:lastRenderedPageBreak/>
              <w:t>130,8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jc w:val="center"/>
              <w:rPr>
                <w:sz w:val="18"/>
                <w:szCs w:val="18"/>
              </w:rPr>
            </w:pPr>
            <w:r w:rsidRPr="002622CF">
              <w:rPr>
                <w:sz w:val="18"/>
                <w:szCs w:val="18"/>
              </w:rPr>
              <w:t>130,8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jc w:val="center"/>
              <w:rPr>
                <w:sz w:val="18"/>
                <w:szCs w:val="18"/>
              </w:rPr>
            </w:pPr>
            <w:r w:rsidRPr="002622CF">
              <w:rPr>
                <w:sz w:val="18"/>
                <w:szCs w:val="18"/>
              </w:rPr>
              <w:t>130,8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Городского населения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140,6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140,6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140,6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Сельского населения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Оказывающими</w:t>
            </w:r>
            <w:proofErr w:type="gramEnd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медицинскую помощь в амбулаторных условиях</w:t>
            </w:r>
          </w:p>
        </w:tc>
        <w:tc>
          <w:tcPr>
            <w:tcW w:w="1417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Оказывающими</w:t>
            </w:r>
            <w:proofErr w:type="gramEnd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медицинскую помощь в стационарных условиях</w:t>
            </w:r>
          </w:p>
        </w:tc>
        <w:tc>
          <w:tcPr>
            <w:tcW w:w="1417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Доля расходов </w:t>
            </w:r>
            <w:proofErr w:type="gramStart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Доля охвата профилактическими медицинскими осмотрами детей, в том числе: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Городского населения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Сельского населения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соответствии с территориальной программой ОМС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на 1000 человек сельского населения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233,0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233,0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233,0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Эффективность деятельности медицинских организаций на основе оценки выполнения функции врачебной должности, показателей рационального и целевого использования коечного фонда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% от установленного норматива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Расположенных</w:t>
            </w:r>
            <w:proofErr w:type="gramEnd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 в городской местности</w:t>
            </w:r>
          </w:p>
        </w:tc>
        <w:tc>
          <w:tcPr>
            <w:tcW w:w="1417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9.2.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Расположенных</w:t>
            </w:r>
            <w:proofErr w:type="gramEnd"/>
            <w:r w:rsidRPr="002622CF">
              <w:rPr>
                <w:rFonts w:ascii="Times New Roman" w:hAnsi="Times New Roman" w:cs="Times New Roman"/>
                <w:sz w:val="18"/>
                <w:szCs w:val="18"/>
              </w:rPr>
              <w:t xml:space="preserve"> в сельской местности</w:t>
            </w:r>
          </w:p>
        </w:tc>
        <w:tc>
          <w:tcPr>
            <w:tcW w:w="1417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2189" w:rsidRPr="002622CF" w:rsidRDefault="00C62189" w:rsidP="00294502">
            <w:pPr>
              <w:rPr>
                <w:sz w:val="18"/>
                <w:szCs w:val="18"/>
              </w:rPr>
            </w:pP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jc w:val="center"/>
              <w:rPr>
                <w:sz w:val="18"/>
                <w:szCs w:val="18"/>
              </w:rPr>
            </w:pPr>
            <w:r w:rsidRPr="002622C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jc w:val="center"/>
              <w:rPr>
                <w:sz w:val="18"/>
                <w:szCs w:val="18"/>
              </w:rPr>
            </w:pPr>
            <w:r w:rsidRPr="002622CF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jc w:val="center"/>
              <w:rPr>
                <w:sz w:val="18"/>
                <w:szCs w:val="18"/>
              </w:rPr>
            </w:pPr>
            <w:r w:rsidRPr="002622CF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jc w:val="center"/>
              <w:rPr>
                <w:sz w:val="18"/>
                <w:szCs w:val="18"/>
              </w:rPr>
            </w:pPr>
            <w:r w:rsidRPr="002622CF">
              <w:rPr>
                <w:sz w:val="18"/>
                <w:szCs w:val="18"/>
              </w:rPr>
              <w:t>45</w:t>
            </w:r>
          </w:p>
        </w:tc>
      </w:tr>
      <w:tr w:rsidR="00C62189" w:rsidRPr="002622CF" w:rsidTr="00294502">
        <w:tc>
          <w:tcPr>
            <w:tcW w:w="704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C62189" w:rsidRPr="002622CF" w:rsidRDefault="00C62189" w:rsidP="002945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2CF">
              <w:rPr>
                <w:rFonts w:ascii="Times New Roman" w:hAnsi="Times New Roman" w:cs="Times New Roman"/>
                <w:sz w:val="18"/>
                <w:szCs w:val="18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1417" w:type="dxa"/>
            <w:shd w:val="clear" w:color="auto" w:fill="auto"/>
          </w:tcPr>
          <w:p w:rsidR="00C62189" w:rsidRPr="002622CF" w:rsidRDefault="00C62189" w:rsidP="00294502">
            <w:pPr>
              <w:jc w:val="center"/>
              <w:rPr>
                <w:sz w:val="18"/>
                <w:szCs w:val="18"/>
              </w:rPr>
            </w:pPr>
            <w:r w:rsidRPr="002622C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jc w:val="center"/>
              <w:rPr>
                <w:sz w:val="18"/>
                <w:szCs w:val="18"/>
              </w:rPr>
            </w:pPr>
            <w:r w:rsidRPr="002622CF"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jc w:val="center"/>
              <w:rPr>
                <w:sz w:val="18"/>
                <w:szCs w:val="18"/>
              </w:rPr>
            </w:pPr>
            <w:r w:rsidRPr="002622CF">
              <w:rPr>
                <w:sz w:val="18"/>
                <w:szCs w:val="18"/>
              </w:rPr>
              <w:t>24,5</w:t>
            </w:r>
          </w:p>
        </w:tc>
        <w:tc>
          <w:tcPr>
            <w:tcW w:w="1134" w:type="dxa"/>
            <w:shd w:val="clear" w:color="auto" w:fill="auto"/>
          </w:tcPr>
          <w:p w:rsidR="00C62189" w:rsidRPr="002622CF" w:rsidRDefault="00C62189" w:rsidP="00294502">
            <w:pPr>
              <w:jc w:val="center"/>
              <w:rPr>
                <w:sz w:val="18"/>
                <w:szCs w:val="18"/>
              </w:rPr>
            </w:pPr>
            <w:r w:rsidRPr="002622CF">
              <w:rPr>
                <w:sz w:val="18"/>
                <w:szCs w:val="18"/>
              </w:rPr>
              <w:t>25,0</w:t>
            </w:r>
          </w:p>
        </w:tc>
      </w:tr>
    </w:tbl>
    <w:p w:rsidR="00C62189" w:rsidRPr="002622CF" w:rsidRDefault="00C62189" w:rsidP="00C6218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63C72" w:rsidRDefault="00663C72"/>
    <w:sectPr w:rsidR="0066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0721"/>
    <w:multiLevelType w:val="hybridMultilevel"/>
    <w:tmpl w:val="CF28A854"/>
    <w:lvl w:ilvl="0" w:tplc="ECC4C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50"/>
    <w:rsid w:val="005C6250"/>
    <w:rsid w:val="00663C72"/>
    <w:rsid w:val="00C6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6071</Characters>
  <Application>Microsoft Office Word</Application>
  <DocSecurity>0</DocSecurity>
  <Lines>50</Lines>
  <Paragraphs>14</Paragraphs>
  <ScaleCrop>false</ScaleCrop>
  <Company>diakov.net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2018-10-18T06:43:00Z</dcterms:created>
  <dcterms:modified xsi:type="dcterms:W3CDTF">2018-10-18T06:44:00Z</dcterms:modified>
</cp:coreProperties>
</file>